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CF" w:rsidRDefault="00624FA2" w:rsidP="00D47ECF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p w:rsidR="00624FA2" w:rsidRPr="00D47ECF" w:rsidRDefault="00624FA2" w:rsidP="00D47ECF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p w:rsidR="00D47ECF" w:rsidRDefault="00624FA2" w:rsidP="00D47ECF">
      <w:pPr>
        <w:spacing w:after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table below sets out the Transport </w:t>
      </w:r>
      <w:r>
        <w:rPr>
          <w:rFonts w:cs="Arial"/>
          <w:color w:val="000000" w:themeColor="text1"/>
        </w:rPr>
        <w:t xml:space="preserve">Asset </w:t>
      </w:r>
      <w:r>
        <w:rPr>
          <w:rFonts w:cs="Arial"/>
          <w:color w:val="000000" w:themeColor="text1"/>
        </w:rPr>
        <w:t xml:space="preserve">Management </w:t>
      </w:r>
      <w:r>
        <w:rPr>
          <w:rFonts w:cs="Arial"/>
          <w:color w:val="000000" w:themeColor="text1"/>
        </w:rPr>
        <w:t>Plan</w:t>
      </w:r>
      <w:bookmarkStart w:id="0" w:name="_GoBack"/>
      <w:bookmarkEnd w:id="0"/>
      <w:r>
        <w:rPr>
          <w:rFonts w:cs="Arial"/>
          <w:color w:val="000000" w:themeColor="text1"/>
        </w:rPr>
        <w:t xml:space="preserve"> Service Standards, the 2013 baseline condition data and subsequent years condition data.</w:t>
      </w:r>
    </w:p>
    <w:p w:rsidR="00D47ECF" w:rsidRPr="00360FC4" w:rsidRDefault="00624FA2" w:rsidP="00D47ECF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Style w:val="TableGrid"/>
        <w:tblW w:w="10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617"/>
        <w:gridCol w:w="6"/>
        <w:gridCol w:w="1186"/>
        <w:gridCol w:w="1304"/>
        <w:gridCol w:w="1304"/>
        <w:gridCol w:w="1304"/>
        <w:gridCol w:w="1304"/>
        <w:gridCol w:w="1304"/>
        <w:gridCol w:w="1298"/>
        <w:gridCol w:w="11"/>
      </w:tblGrid>
      <w:tr w:rsidR="00A64DC6" w:rsidTr="006B7B5A">
        <w:trPr>
          <w:trHeight w:val="228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Asset Category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Measure</w:t>
            </w:r>
          </w:p>
        </w:tc>
        <w:tc>
          <w:tcPr>
            <w:tcW w:w="130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Asset Condition</w:t>
            </w:r>
          </w:p>
        </w:tc>
      </w:tr>
      <w:tr w:rsidR="00A64DC6" w:rsidTr="006B7B5A">
        <w:trPr>
          <w:trHeight w:val="228"/>
        </w:trPr>
        <w:tc>
          <w:tcPr>
            <w:tcW w:w="14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2013/14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2014/15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2015/16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2016/17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2017/18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B5A" w:rsidRPr="006B7B5A" w:rsidRDefault="00624FA2" w:rsidP="00D47EC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2018/19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A Roads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22.1%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30.37%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23.92%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23.08%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22.29%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21.51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B Roads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42.3%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36.01%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28.10%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26.27%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24.65%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23.97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C Roads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48.7%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38.59%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30.62%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34.26%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6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32.04%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29.80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Fair</w:t>
            </w:r>
          </w:p>
        </w:tc>
      </w:tr>
      <w:tr w:rsidR="00A64DC6" w:rsidTr="006B7B5A">
        <w:trPr>
          <w:trHeight w:val="567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Residential Unclassified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13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Not Collected</w:t>
            </w:r>
          </w:p>
        </w:tc>
        <w:tc>
          <w:tcPr>
            <w:tcW w:w="13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Not Collected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Not Collected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Collected being analysed</w:t>
            </w:r>
            <w:r w:rsidRPr="006B7B5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Collected being analysed</w:t>
            </w:r>
            <w:r w:rsidRPr="006B7B5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B7B5A">
              <w:rPr>
                <w:color w:val="000000" w:themeColor="text1"/>
                <w:sz w:val="18"/>
                <w:szCs w:val="18"/>
              </w:rPr>
              <w:t>Collected being analysed</w:t>
            </w:r>
            <w:r w:rsidRPr="006B7B5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64DC6" w:rsidTr="006B7B5A">
        <w:trPr>
          <w:trHeight w:val="567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Rural Unclassified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Footways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No. defects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51,395</w:t>
            </w:r>
            <w:r w:rsidRPr="006B7B5A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22,171 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13,533 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13,037 Excellent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7,142 Excellent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5,430 Excellent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No. claims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359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298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259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130 Excellent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Excellent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Excellent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Bridges and Similar Structures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 xml:space="preserve">Bridge Condition Index </w:t>
            </w: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(Ave.)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89.3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89.99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90.19 Excellent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89.75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89.67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89.78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Street Lighting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% of high / medium risk columns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23.15%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17.72% Good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19.99% Good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16.15% Good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15.66% Good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18.50% Good</w:t>
            </w:r>
          </w:p>
        </w:tc>
      </w:tr>
      <w:tr w:rsidR="00A64DC6" w:rsidTr="006B7B5A">
        <w:trPr>
          <w:trHeight w:val="680"/>
        </w:trPr>
        <w:tc>
          <w:tcPr>
            <w:tcW w:w="14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Traffic Signals</w:t>
            </w: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B7B5A">
              <w:rPr>
                <w:rFonts w:cs="Arial"/>
                <w:color w:val="000000" w:themeColor="text1"/>
                <w:sz w:val="18"/>
                <w:szCs w:val="18"/>
              </w:rPr>
              <w:t>% of units beyond design life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33.11%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33.11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30.31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30.31</w:t>
            </w:r>
            <w:r w:rsidRPr="006B7B5A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 w:rsidRPr="006B7B5A">
              <w:rPr>
                <w:b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46.73</w:t>
            </w:r>
            <w:r w:rsidRPr="006B7B5A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47.79</w:t>
            </w:r>
          </w:p>
          <w:p w:rsidR="006B7B5A" w:rsidRPr="006B7B5A" w:rsidRDefault="00624FA2" w:rsidP="00CB0F1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B7B5A">
              <w:rPr>
                <w:rFonts w:cs="Arial"/>
                <w:b/>
                <w:color w:val="000000" w:themeColor="text1"/>
                <w:sz w:val="20"/>
                <w:szCs w:val="20"/>
              </w:rPr>
              <w:t>Poor</w:t>
            </w:r>
          </w:p>
        </w:tc>
      </w:tr>
      <w:tr w:rsidR="00A64DC6" w:rsidTr="006B7B5A">
        <w:trPr>
          <w:gridAfter w:val="1"/>
          <w:wAfter w:w="11" w:type="dxa"/>
          <w:trHeight w:val="227"/>
        </w:trPr>
        <w:tc>
          <w:tcPr>
            <w:tcW w:w="141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10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64DC6" w:rsidTr="006B7B5A">
        <w:trPr>
          <w:trHeight w:val="227"/>
        </w:trPr>
        <w:tc>
          <w:tcPr>
            <w:tcW w:w="79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Notes</w:t>
            </w:r>
          </w:p>
        </w:tc>
        <w:tc>
          <w:tcPr>
            <w:tcW w:w="9638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64DC6" w:rsidTr="006B7B5A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1 - </w:t>
            </w:r>
          </w:p>
        </w:tc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Condition data is being collected for the unclassified network using Detailed Video Survey methodology for unclassified roads.  Analysis is currently being undertaken and will be reported as part of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TAMP Phase 2 review in the summer of 2020</w:t>
            </w: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.  Provision</w:t>
            </w: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al data shows that the unclassified road network is POOR compared to the C road network</w:t>
            </w:r>
          </w:p>
        </w:tc>
      </w:tr>
      <w:tr w:rsidR="00A64DC6" w:rsidTr="006B7B5A">
        <w:trPr>
          <w:trHeight w:val="113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2 - </w:t>
            </w:r>
          </w:p>
        </w:tc>
        <w:tc>
          <w:tcPr>
            <w:tcW w:w="96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Changes in defect reporting systems for footways meant 2013 data is not comparable to subsequent year's data. Detailed Video Survey data for footways is available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and will be reported</w:t>
            </w: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 as part of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TAMP Phase 2 review in the summer of 2020</w:t>
            </w:r>
          </w:p>
        </w:tc>
      </w:tr>
      <w:tr w:rsidR="00A64DC6" w:rsidTr="006B7B5A">
        <w:trPr>
          <w:trHeight w:val="113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4 - </w:t>
            </w:r>
          </w:p>
        </w:tc>
        <w:tc>
          <w:tcPr>
            <w:tcW w:w="96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Migration to HAMS means we data can no longer be split by road classification – condition assumed to remain unchanged.</w:t>
            </w:r>
          </w:p>
        </w:tc>
      </w:tr>
      <w:tr w:rsidR="00A64DC6" w:rsidTr="006B7B5A">
        <w:trPr>
          <w:trHeight w:val="113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5 - </w:t>
            </w:r>
          </w:p>
        </w:tc>
        <w:tc>
          <w:tcPr>
            <w:tcW w:w="96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There was a delay in 2016/17 in updating traff</w:t>
            </w: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ic signal inventory as efforts were focused on keeping these installations operational.</w:t>
            </w:r>
          </w:p>
        </w:tc>
      </w:tr>
      <w:tr w:rsidR="00A64DC6" w:rsidTr="006B7B5A">
        <w:trPr>
          <w:trHeight w:val="113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96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5A" w:rsidRPr="003E3EE6" w:rsidRDefault="00624FA2" w:rsidP="006B7B5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E3EE6">
              <w:rPr>
                <w:rFonts w:cs="Arial"/>
                <w:color w:val="000000" w:themeColor="text1"/>
                <w:sz w:val="20"/>
                <w:szCs w:val="20"/>
              </w:rPr>
              <w:t>The condition of the 2017/18 Traffic Signals asset has been amended after errors were detected in the 2017/18 calculation.</w:t>
            </w:r>
          </w:p>
        </w:tc>
      </w:tr>
    </w:tbl>
    <w:p w:rsidR="00D47ECF" w:rsidRPr="009A025D" w:rsidRDefault="00624FA2" w:rsidP="00D47ECF">
      <w:pPr>
        <w:spacing w:after="0"/>
        <w:jc w:val="both"/>
        <w:rPr>
          <w:rFonts w:cs="Arial"/>
          <w:color w:val="000000" w:themeColor="text1"/>
          <w:sz w:val="22"/>
        </w:rPr>
      </w:pPr>
    </w:p>
    <w:sectPr w:rsidR="00D47ECF" w:rsidRPr="009A025D" w:rsidSect="006B7B5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6"/>
    <w:rsid w:val="003A2CBE"/>
    <w:rsid w:val="00624FA2"/>
    <w:rsid w:val="00A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A3A2"/>
  <w15:docId w15:val="{6E49A51F-97B5-41E2-A5E3-9F0A623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CF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Postlethwaite, Keith</dc:creator>
  <cp:lastModifiedBy>Gorman, Dave</cp:lastModifiedBy>
  <cp:revision>6</cp:revision>
  <dcterms:created xsi:type="dcterms:W3CDTF">2019-11-25T11:23:00Z</dcterms:created>
  <dcterms:modified xsi:type="dcterms:W3CDTF">2019-12-18T09:24:00Z</dcterms:modified>
</cp:coreProperties>
</file>